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5C77842E" w14:textId="77777777" w:rsidTr="00050DA7">
        <w:tc>
          <w:tcPr>
            <w:tcW w:w="4428" w:type="dxa"/>
          </w:tcPr>
          <w:p w14:paraId="63600D27" w14:textId="77777777" w:rsidR="000348ED" w:rsidRPr="003B009E" w:rsidRDefault="005D05AC" w:rsidP="002B0236">
            <w:r w:rsidRPr="003B009E">
              <w:t>From:</w:t>
            </w:r>
            <w:r w:rsidRPr="003B009E">
              <w:tab/>
            </w:r>
            <w:r w:rsidR="001377C6" w:rsidRPr="003B009E">
              <w:t xml:space="preserve">VTS </w:t>
            </w:r>
            <w:r w:rsidRPr="003B009E">
              <w:t>C</w:t>
            </w:r>
            <w:r w:rsidR="00050DA7" w:rsidRPr="003B009E">
              <w:t>ommittee</w:t>
            </w:r>
          </w:p>
        </w:tc>
        <w:tc>
          <w:tcPr>
            <w:tcW w:w="5461" w:type="dxa"/>
          </w:tcPr>
          <w:p w14:paraId="68AE1C1F" w14:textId="46A9535A" w:rsidR="00E52A00" w:rsidRDefault="00E52A00" w:rsidP="00FD3765">
            <w:pPr>
              <w:jc w:val="right"/>
            </w:pPr>
            <w:r>
              <w:t>ARM20-7.7.5</w:t>
            </w:r>
          </w:p>
          <w:p w14:paraId="76E5799D" w14:textId="43532B3A" w:rsidR="00FD3765" w:rsidRPr="00FD3765" w:rsidRDefault="00E52A00" w:rsidP="00FD3765">
            <w:pPr>
              <w:jc w:val="right"/>
            </w:pPr>
            <w:r>
              <w:t>(</w:t>
            </w:r>
            <w:r w:rsidR="007311C4" w:rsidRPr="003B009E">
              <w:t>VTS57</w:t>
            </w:r>
            <w:r w:rsidR="00FD3765">
              <w:t>-12.2.2</w:t>
            </w:r>
            <w:r>
              <w:t>)</w:t>
            </w:r>
          </w:p>
        </w:tc>
      </w:tr>
      <w:tr w:rsidR="000348ED" w:rsidRPr="00AA2626" w14:paraId="0BB8F02E" w14:textId="77777777" w:rsidTr="00050DA7">
        <w:tc>
          <w:tcPr>
            <w:tcW w:w="4428" w:type="dxa"/>
          </w:tcPr>
          <w:p w14:paraId="7016B432" w14:textId="77777777" w:rsidR="000348ED" w:rsidRPr="003B009E" w:rsidRDefault="005D05AC" w:rsidP="002B0236">
            <w:r w:rsidRPr="003B009E">
              <w:t>To:</w:t>
            </w:r>
            <w:r w:rsidRPr="003B009E">
              <w:tab/>
            </w:r>
            <w:r w:rsidR="00A95310" w:rsidRPr="003B009E">
              <w:t>ARM</w:t>
            </w:r>
            <w:r w:rsidR="001377C6" w:rsidRPr="003B009E">
              <w:t xml:space="preserve"> </w:t>
            </w:r>
            <w:r w:rsidR="00902AA4" w:rsidRPr="003B009E">
              <w:t>Committee</w:t>
            </w:r>
          </w:p>
        </w:tc>
        <w:tc>
          <w:tcPr>
            <w:tcW w:w="5461" w:type="dxa"/>
          </w:tcPr>
          <w:p w14:paraId="320BDA0D" w14:textId="73A6E1DD" w:rsidR="000348ED" w:rsidRPr="00AA2626" w:rsidRDefault="00FD3765" w:rsidP="008F4DC3">
            <w:pPr>
              <w:jc w:val="right"/>
            </w:pPr>
            <w:r w:rsidRPr="00FD3765">
              <w:t>27</w:t>
            </w:r>
            <w:r w:rsidR="007311C4" w:rsidRPr="00FD3765">
              <w:t xml:space="preserve"> March</w:t>
            </w:r>
            <w:r w:rsidR="005D05AC" w:rsidRPr="00AA2626">
              <w:t xml:space="preserve"> 20</w:t>
            </w:r>
            <w:r w:rsidR="007311C4">
              <w:t>25</w:t>
            </w:r>
          </w:p>
        </w:tc>
      </w:tr>
    </w:tbl>
    <w:p w14:paraId="50E2C4D0" w14:textId="77777777" w:rsidR="000348ED" w:rsidRPr="00AA2626" w:rsidRDefault="00AA2626" w:rsidP="002B0236">
      <w:pPr>
        <w:pStyle w:val="Title"/>
      </w:pPr>
      <w:r>
        <w:t>LIAISON NOTE</w:t>
      </w:r>
    </w:p>
    <w:p w14:paraId="26A550EE" w14:textId="77777777" w:rsidR="000348ED" w:rsidRPr="00AA2626" w:rsidRDefault="00A95310" w:rsidP="002B0236">
      <w:pPr>
        <w:pStyle w:val="Title"/>
      </w:pPr>
      <w:r w:rsidRPr="00194EF1">
        <w:t>Proposal on revision of G1185</w:t>
      </w:r>
    </w:p>
    <w:p w14:paraId="2F1E8D7C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42268B6A" w14:textId="77777777" w:rsidR="00F5488F" w:rsidRDefault="00F5488F" w:rsidP="00F5488F">
      <w:pPr>
        <w:pStyle w:val="BodyText"/>
      </w:pPr>
      <w:r>
        <w:t xml:space="preserve">The VTS Committee has reviewed </w:t>
      </w:r>
      <w:r w:rsidR="007F4C2C" w:rsidRPr="00954F25">
        <w:rPr>
          <w:i/>
          <w:iCs/>
        </w:rPr>
        <w:t>G</w:t>
      </w:r>
      <w:r w:rsidR="00C47180" w:rsidRPr="00954F25">
        <w:rPr>
          <w:i/>
          <w:iCs/>
        </w:rPr>
        <w:t>1185</w:t>
      </w:r>
      <w:r w:rsidRPr="00954F25">
        <w:rPr>
          <w:i/>
          <w:iCs/>
        </w:rPr>
        <w:t xml:space="preserve"> </w:t>
      </w:r>
      <w:r w:rsidR="00954F25">
        <w:rPr>
          <w:i/>
          <w:iCs/>
        </w:rPr>
        <w:t xml:space="preserve">- </w:t>
      </w:r>
      <w:r w:rsidR="00954F25" w:rsidRPr="00954F25">
        <w:rPr>
          <w:i/>
          <w:iCs/>
        </w:rPr>
        <w:t xml:space="preserve">Enhancing </w:t>
      </w:r>
      <w:r w:rsidR="00954F25">
        <w:rPr>
          <w:i/>
          <w:iCs/>
        </w:rPr>
        <w:t>t</w:t>
      </w:r>
      <w:r w:rsidR="00954F25" w:rsidRPr="00954F25">
        <w:rPr>
          <w:i/>
          <w:iCs/>
        </w:rPr>
        <w:t xml:space="preserve">he Safety </w:t>
      </w:r>
      <w:r w:rsidR="00954F25">
        <w:rPr>
          <w:i/>
          <w:iCs/>
        </w:rPr>
        <w:t>a</w:t>
      </w:r>
      <w:r w:rsidR="00954F25" w:rsidRPr="00954F25">
        <w:rPr>
          <w:i/>
          <w:iCs/>
        </w:rPr>
        <w:t xml:space="preserve">nd Efficiency </w:t>
      </w:r>
      <w:r w:rsidR="00954F25">
        <w:rPr>
          <w:i/>
          <w:iCs/>
        </w:rPr>
        <w:t>o</w:t>
      </w:r>
      <w:r w:rsidR="00954F25" w:rsidRPr="00954F25">
        <w:rPr>
          <w:i/>
          <w:iCs/>
        </w:rPr>
        <w:t xml:space="preserve">f Navigation </w:t>
      </w:r>
      <w:r w:rsidR="00954F25">
        <w:rPr>
          <w:i/>
          <w:iCs/>
        </w:rPr>
        <w:t>a</w:t>
      </w:r>
      <w:r w:rsidR="00954F25" w:rsidRPr="00954F25">
        <w:rPr>
          <w:i/>
          <w:iCs/>
        </w:rPr>
        <w:t xml:space="preserve">round Offshore Renewable Energy Installations (OREI) </w:t>
      </w:r>
      <w:r w:rsidR="00954F25">
        <w:t>as requested.</w:t>
      </w:r>
    </w:p>
    <w:p w14:paraId="5BBF3247" w14:textId="77777777" w:rsidR="00902AA4" w:rsidRPr="00AA2626" w:rsidRDefault="00F5488F" w:rsidP="002B0236">
      <w:pPr>
        <w:pStyle w:val="Heading1"/>
      </w:pPr>
      <w:r>
        <w:t>DISCUSSION</w:t>
      </w:r>
    </w:p>
    <w:p w14:paraId="50F8C6A7" w14:textId="77777777" w:rsidR="00954F25" w:rsidRDefault="00F5488F" w:rsidP="0076651E">
      <w:pPr>
        <w:pStyle w:val="BodyText"/>
        <w:numPr>
          <w:ilvl w:val="0"/>
          <w:numId w:val="28"/>
        </w:numPr>
        <w:tabs>
          <w:tab w:val="clear" w:pos="851"/>
        </w:tabs>
        <w:rPr>
          <w:bCs/>
          <w:lang w:val="en-US"/>
        </w:rPr>
      </w:pPr>
      <w:r w:rsidRPr="0060316D">
        <w:rPr>
          <w:bCs/>
          <w:lang w:val="en-US"/>
        </w:rPr>
        <w:t>The</w:t>
      </w:r>
      <w:r w:rsidR="0060316D">
        <w:rPr>
          <w:bCs/>
          <w:lang w:val="en-US"/>
        </w:rPr>
        <w:t xml:space="preserve"> VTS Committee </w:t>
      </w:r>
      <w:r w:rsidR="00954F25">
        <w:rPr>
          <w:bCs/>
          <w:lang w:val="en-US"/>
        </w:rPr>
        <w:t>notes that:</w:t>
      </w:r>
    </w:p>
    <w:p w14:paraId="72E9CDFB" w14:textId="77777777" w:rsidR="0076651E" w:rsidRPr="0076651E" w:rsidRDefault="0076651E" w:rsidP="0076651E">
      <w:pPr>
        <w:pStyle w:val="BodyText"/>
        <w:tabs>
          <w:tab w:val="clear" w:pos="851"/>
        </w:tabs>
        <w:ind w:left="405"/>
        <w:rPr>
          <w:b/>
          <w:i/>
          <w:iCs/>
          <w:u w:val="single"/>
        </w:rPr>
      </w:pPr>
      <w:r w:rsidRPr="0076651E">
        <w:rPr>
          <w:b/>
          <w:u w:val="single"/>
        </w:rPr>
        <w:t>Standard 1010</w:t>
      </w:r>
    </w:p>
    <w:p w14:paraId="0E9003CF" w14:textId="77777777" w:rsidR="00954F25" w:rsidRPr="0076651E" w:rsidRDefault="00954F25" w:rsidP="0076651E">
      <w:pPr>
        <w:pStyle w:val="BodyText"/>
        <w:numPr>
          <w:ilvl w:val="0"/>
          <w:numId w:val="27"/>
        </w:numPr>
        <w:tabs>
          <w:tab w:val="clear" w:pos="851"/>
        </w:tabs>
        <w:ind w:left="1013" w:hanging="304"/>
        <w:rPr>
          <w:bCs/>
          <w:i/>
          <w:iCs/>
        </w:rPr>
      </w:pPr>
      <w:r w:rsidRPr="001972EC">
        <w:rPr>
          <w:bCs/>
        </w:rPr>
        <w:t xml:space="preserve">G1185 is associated with IALA Standard S1010 and Recommendation </w:t>
      </w:r>
      <w:r w:rsidRPr="0076651E">
        <w:rPr>
          <w:bCs/>
          <w:i/>
          <w:iCs/>
        </w:rPr>
        <w:t>R0139 Marking of Man-Made Offshore Structures</w:t>
      </w:r>
      <w:r w:rsidR="0076651E">
        <w:rPr>
          <w:bCs/>
          <w:i/>
          <w:iCs/>
        </w:rPr>
        <w:t>.</w:t>
      </w:r>
    </w:p>
    <w:p w14:paraId="45EEC5C9" w14:textId="77777777" w:rsidR="00954F25" w:rsidRPr="00954F25" w:rsidRDefault="00954F25" w:rsidP="0076651E">
      <w:pPr>
        <w:pStyle w:val="BodyText"/>
        <w:numPr>
          <w:ilvl w:val="0"/>
          <w:numId w:val="27"/>
        </w:numPr>
        <w:tabs>
          <w:tab w:val="clear" w:pos="851"/>
        </w:tabs>
        <w:ind w:left="1013" w:hanging="304"/>
        <w:rPr>
          <w:bCs/>
          <w:i/>
          <w:iCs/>
        </w:rPr>
      </w:pPr>
      <w:r>
        <w:rPr>
          <w:bCs/>
        </w:rPr>
        <w:t xml:space="preserve">Recommendation </w:t>
      </w:r>
      <w:r w:rsidRPr="00954F25">
        <w:rPr>
          <w:bCs/>
        </w:rPr>
        <w:t>R019</w:t>
      </w:r>
      <w:r>
        <w:rPr>
          <w:bCs/>
        </w:rPr>
        <w:t xml:space="preserve"> is a</w:t>
      </w:r>
      <w:r w:rsidRPr="00954F25">
        <w:rPr>
          <w:bCs/>
        </w:rPr>
        <w:t xml:space="preserve"> normative provision</w:t>
      </w:r>
      <w:r w:rsidR="001972EC">
        <w:rPr>
          <w:bCs/>
        </w:rPr>
        <w:t>,</w:t>
      </w:r>
      <w:r w:rsidRPr="00954F25">
        <w:rPr>
          <w:bCs/>
        </w:rPr>
        <w:t xml:space="preserve"> which </w:t>
      </w:r>
    </w:p>
    <w:p w14:paraId="74268296" w14:textId="77777777" w:rsidR="00954F25" w:rsidRDefault="00954F25" w:rsidP="0076651E">
      <w:pPr>
        <w:pStyle w:val="BodyText"/>
        <w:tabs>
          <w:tab w:val="clear" w:pos="851"/>
        </w:tabs>
        <w:ind w:left="1744"/>
        <w:rPr>
          <w:bCs/>
        </w:rPr>
      </w:pPr>
      <w:r w:rsidRPr="00954F25">
        <w:rPr>
          <w:b/>
          <w:i/>
          <w:iCs/>
        </w:rPr>
        <w:t>RECOMMENDS</w:t>
      </w:r>
      <w:r w:rsidRPr="00954F25">
        <w:rPr>
          <w:bCs/>
          <w:i/>
          <w:iCs/>
        </w:rPr>
        <w:t xml:space="preserve">: That members ensure that </w:t>
      </w:r>
      <w:r w:rsidRPr="001972EC">
        <w:rPr>
          <w:bCs/>
          <w:i/>
          <w:iCs/>
          <w:u w:val="single"/>
        </w:rPr>
        <w:t xml:space="preserve">the marking of man-made structures </w:t>
      </w:r>
      <w:r w:rsidRPr="00954F25">
        <w:rPr>
          <w:bCs/>
          <w:i/>
          <w:iCs/>
        </w:rPr>
        <w:t>conforms to the standards and practices specified in the relevant sections of the guidelines</w:t>
      </w:r>
      <w:r w:rsidRPr="00954F25">
        <w:rPr>
          <w:bCs/>
        </w:rPr>
        <w:t>.</w:t>
      </w:r>
    </w:p>
    <w:p w14:paraId="046CBB24" w14:textId="77777777" w:rsidR="001972EC" w:rsidRPr="001972EC" w:rsidRDefault="001972EC" w:rsidP="0076651E">
      <w:pPr>
        <w:pStyle w:val="BodyText"/>
        <w:tabs>
          <w:tab w:val="clear" w:pos="851"/>
        </w:tabs>
        <w:ind w:left="1034" w:hanging="21"/>
        <w:rPr>
          <w:bCs/>
        </w:rPr>
      </w:pPr>
      <w:r w:rsidRPr="001972EC">
        <w:rPr>
          <w:bCs/>
        </w:rPr>
        <w:t>This would appear to have little scope for guidance regarding managing ship traffic such as VTS and routeing measures.</w:t>
      </w:r>
    </w:p>
    <w:p w14:paraId="5A54174A" w14:textId="77777777" w:rsidR="001E7B14" w:rsidRDefault="001972EC" w:rsidP="0076651E">
      <w:pPr>
        <w:pStyle w:val="BodyText"/>
        <w:numPr>
          <w:ilvl w:val="0"/>
          <w:numId w:val="27"/>
        </w:numPr>
        <w:tabs>
          <w:tab w:val="clear" w:pos="851"/>
        </w:tabs>
        <w:ind w:left="1013" w:hanging="304"/>
        <w:rPr>
          <w:bCs/>
        </w:rPr>
      </w:pPr>
      <w:r w:rsidRPr="001972EC">
        <w:rPr>
          <w:bCs/>
        </w:rPr>
        <w:t>Other guidance associated with this topic under IALA S1010 include</w:t>
      </w:r>
      <w:r w:rsidR="001E7B14">
        <w:rPr>
          <w:bCs/>
        </w:rPr>
        <w:t xml:space="preserve">s </w:t>
      </w:r>
      <w:r w:rsidR="001E7B14" w:rsidRPr="001E7B14">
        <w:rPr>
          <w:bCs/>
          <w:i/>
          <w:iCs/>
        </w:rPr>
        <w:t>G1121 - Navigational Safety within Marine Spatial Planning.</w:t>
      </w:r>
      <w:r w:rsidR="001E7B14" w:rsidRPr="001E7B14">
        <w:rPr>
          <w:bCs/>
        </w:rPr>
        <w:t>  G</w:t>
      </w:r>
      <w:r w:rsidR="001E7B14">
        <w:rPr>
          <w:bCs/>
        </w:rPr>
        <w:t>11</w:t>
      </w:r>
      <w:r w:rsidR="001E7B14" w:rsidRPr="001E7B14">
        <w:rPr>
          <w:bCs/>
        </w:rPr>
        <w:t xml:space="preserve">21 provides guidance on the main elements of a Marine Spatial Planning (MSP) process. It also provides information on the </w:t>
      </w:r>
      <w:r w:rsidR="001E7B14" w:rsidRPr="001E7B14">
        <w:rPr>
          <w:bCs/>
          <w:u w:val="single"/>
        </w:rPr>
        <w:t xml:space="preserve">underlying navigation factors to be taken into account </w:t>
      </w:r>
      <w:r w:rsidR="001E7B14" w:rsidRPr="001E7B14">
        <w:rPr>
          <w:bCs/>
        </w:rPr>
        <w:t>during a MSP process</w:t>
      </w:r>
      <w:r w:rsidR="001E7B14">
        <w:rPr>
          <w:bCs/>
        </w:rPr>
        <w:t>.</w:t>
      </w:r>
    </w:p>
    <w:p w14:paraId="670E4919" w14:textId="77777777" w:rsidR="001972EC" w:rsidRDefault="001E7B14" w:rsidP="0076651E">
      <w:pPr>
        <w:pStyle w:val="BodyText"/>
        <w:tabs>
          <w:tab w:val="clear" w:pos="851"/>
        </w:tabs>
        <w:ind w:left="1013"/>
        <w:rPr>
          <w:bCs/>
        </w:rPr>
      </w:pPr>
      <w:r>
        <w:rPr>
          <w:bCs/>
        </w:rPr>
        <w:t xml:space="preserve">G1121 is associated with </w:t>
      </w:r>
      <w:r w:rsidRPr="001E7B14">
        <w:rPr>
          <w:bCs/>
          <w:i/>
          <w:iCs/>
        </w:rPr>
        <w:t>Recommendation R1010 - Involvement of Maritime Authorities in Marine Spatial Planning (MSP)</w:t>
      </w:r>
      <w:r>
        <w:rPr>
          <w:bCs/>
        </w:rPr>
        <w:t>, which is an informative provision.</w:t>
      </w:r>
    </w:p>
    <w:p w14:paraId="2A172E68" w14:textId="77777777" w:rsidR="001E7B14" w:rsidRPr="0076651E" w:rsidRDefault="0076651E" w:rsidP="0076651E">
      <w:pPr>
        <w:pStyle w:val="BodyText"/>
        <w:tabs>
          <w:tab w:val="clear" w:pos="851"/>
        </w:tabs>
        <w:ind w:left="405"/>
        <w:rPr>
          <w:b/>
          <w:u w:val="single"/>
        </w:rPr>
      </w:pPr>
      <w:r w:rsidRPr="0076651E">
        <w:rPr>
          <w:b/>
          <w:u w:val="single"/>
        </w:rPr>
        <w:t>Standard 1040</w:t>
      </w:r>
    </w:p>
    <w:p w14:paraId="565C1BF4" w14:textId="77777777" w:rsidR="0076651E" w:rsidRPr="0076651E" w:rsidRDefault="0076651E" w:rsidP="0076651E">
      <w:pPr>
        <w:pStyle w:val="BodyText"/>
        <w:numPr>
          <w:ilvl w:val="0"/>
          <w:numId w:val="27"/>
        </w:numPr>
        <w:tabs>
          <w:tab w:val="clear" w:pos="851"/>
        </w:tabs>
        <w:rPr>
          <w:bCs/>
          <w:lang w:val="en-AU"/>
        </w:rPr>
      </w:pPr>
      <w:r w:rsidRPr="0076651E">
        <w:rPr>
          <w:bCs/>
        </w:rPr>
        <w:t xml:space="preserve">IALA Recommendation </w:t>
      </w:r>
      <w:r w:rsidRPr="0076651E">
        <w:rPr>
          <w:i/>
          <w:iCs/>
          <w:lang w:val="en-AU"/>
        </w:rPr>
        <w:t>R0119 - Establishment of a VTS</w:t>
      </w:r>
      <w:r w:rsidRPr="0076651E">
        <w:rPr>
          <w:b/>
          <w:bCs/>
          <w:lang w:val="en-AU"/>
        </w:rPr>
        <w:t xml:space="preserve"> </w:t>
      </w:r>
      <w:r w:rsidRPr="0076651E">
        <w:rPr>
          <w:bCs/>
          <w:lang w:val="en-AU"/>
        </w:rPr>
        <w:t>specifies the practices associated with the establishment and operation of VTS as prescribed in SOLAS regulation V/12 (Vessel Traffic Services).</w:t>
      </w:r>
    </w:p>
    <w:p w14:paraId="26A9471E" w14:textId="77777777" w:rsidR="0076651E" w:rsidRDefault="0076651E" w:rsidP="0076651E">
      <w:pPr>
        <w:pStyle w:val="BodyText"/>
        <w:tabs>
          <w:tab w:val="clear" w:pos="851"/>
        </w:tabs>
        <w:ind w:left="720"/>
        <w:rPr>
          <w:bCs/>
          <w:lang w:val="en-AU"/>
        </w:rPr>
      </w:pPr>
      <w:r w:rsidRPr="0076651E">
        <w:rPr>
          <w:lang w:val="en-AU"/>
        </w:rPr>
        <w:t>R0119</w:t>
      </w:r>
      <w:r w:rsidRPr="0076651E">
        <w:rPr>
          <w:b/>
          <w:bCs/>
          <w:lang w:val="en-AU"/>
        </w:rPr>
        <w:t xml:space="preserve"> </w:t>
      </w:r>
      <w:r w:rsidRPr="0076651E">
        <w:rPr>
          <w:bCs/>
          <w:lang w:val="en-AU"/>
        </w:rPr>
        <w:t xml:space="preserve">is a normative provision of IALA Standard 1040 Vessel Traffic Services and shall be observed if compliance with this Standard is claimed. </w:t>
      </w:r>
    </w:p>
    <w:p w14:paraId="471A1DD1" w14:textId="77777777" w:rsidR="0076651E" w:rsidRDefault="0076651E" w:rsidP="0076651E">
      <w:pPr>
        <w:pStyle w:val="BodyText"/>
        <w:tabs>
          <w:tab w:val="clear" w:pos="851"/>
        </w:tabs>
        <w:ind w:left="720"/>
        <w:rPr>
          <w:bCs/>
          <w:i/>
          <w:iCs/>
        </w:rPr>
      </w:pPr>
      <w:r w:rsidRPr="0076651E">
        <w:rPr>
          <w:bCs/>
          <w:lang w:val="en-AU"/>
        </w:rPr>
        <w:t>To demonstrate compliance with the Recommendation</w:t>
      </w:r>
      <w:r>
        <w:rPr>
          <w:bCs/>
          <w:lang w:val="en-AU"/>
        </w:rPr>
        <w:t>,</w:t>
      </w:r>
      <w:r w:rsidRPr="0076651E">
        <w:rPr>
          <w:bCs/>
          <w:lang w:val="en-AU"/>
        </w:rPr>
        <w:t xml:space="preserve"> the practices described in the associated Guidelines should be taken into account.</w:t>
      </w:r>
      <w:r>
        <w:rPr>
          <w:bCs/>
          <w:lang w:val="en-AU"/>
        </w:rPr>
        <w:t xml:space="preserve">  This includes, amongst other guidelines, </w:t>
      </w:r>
      <w:r w:rsidRPr="0076651E">
        <w:rPr>
          <w:bCs/>
          <w:i/>
          <w:iCs/>
        </w:rPr>
        <w:t>Guideline 1150 - Establishing, Planning and Implementing a VTS</w:t>
      </w:r>
      <w:r>
        <w:rPr>
          <w:bCs/>
          <w:i/>
          <w:iCs/>
        </w:rPr>
        <w:t>.</w:t>
      </w:r>
    </w:p>
    <w:p w14:paraId="490577E8" w14:textId="4602F720" w:rsidR="0076651E" w:rsidRPr="00D67AF2" w:rsidRDefault="0076651E" w:rsidP="00D67AF2">
      <w:pPr>
        <w:pStyle w:val="BodyText"/>
        <w:tabs>
          <w:tab w:val="clear" w:pos="851"/>
        </w:tabs>
        <w:ind w:left="720"/>
        <w:rPr>
          <w:bCs/>
          <w:lang w:val="en-AU"/>
        </w:rPr>
      </w:pPr>
      <w:r w:rsidRPr="0081360F">
        <w:rPr>
          <w:bCs/>
        </w:rPr>
        <w:lastRenderedPageBreak/>
        <w:t xml:space="preserve">G1150 </w:t>
      </w:r>
      <w:r w:rsidR="0081360F" w:rsidRPr="0081360F">
        <w:rPr>
          <w:bCs/>
        </w:rPr>
        <w:t xml:space="preserve">specifically refers to </w:t>
      </w:r>
      <w:r w:rsidR="0081360F" w:rsidRPr="0081360F">
        <w:rPr>
          <w:bCs/>
          <w:lang w:val="en-AU"/>
        </w:rPr>
        <w:t>protection of infrastructure such as offshore renewable energy installations (OREI)</w:t>
      </w:r>
      <w:r w:rsidR="00D67AF2">
        <w:rPr>
          <w:bCs/>
          <w:lang w:val="en-AU"/>
        </w:rPr>
        <w:t>.</w:t>
      </w:r>
    </w:p>
    <w:p w14:paraId="71D5D645" w14:textId="77777777" w:rsidR="001972EC" w:rsidRDefault="005D46C2" w:rsidP="0076651E">
      <w:pPr>
        <w:pStyle w:val="BodyText"/>
        <w:numPr>
          <w:ilvl w:val="0"/>
          <w:numId w:val="28"/>
        </w:numPr>
        <w:tabs>
          <w:tab w:val="clear" w:pos="851"/>
        </w:tabs>
        <w:rPr>
          <w:bCs/>
        </w:rPr>
      </w:pPr>
      <w:r>
        <w:rPr>
          <w:bCs/>
        </w:rPr>
        <w:t xml:space="preserve">The VTS Committee recognizes that </w:t>
      </w:r>
      <w:r w:rsidR="0076651E" w:rsidRPr="0076651E">
        <w:rPr>
          <w:bCs/>
        </w:rPr>
        <w:t xml:space="preserve">OREI and MSP are large, complex and emerging topics, </w:t>
      </w:r>
      <w:r w:rsidR="0081360F">
        <w:rPr>
          <w:bCs/>
        </w:rPr>
        <w:t xml:space="preserve">involving </w:t>
      </w:r>
      <w:r w:rsidR="0076651E" w:rsidRPr="0076651E">
        <w:rPr>
          <w:bCs/>
        </w:rPr>
        <w:t>diverse stakeholders, waterway users, politics etc. </w:t>
      </w:r>
    </w:p>
    <w:p w14:paraId="338A10D9" w14:textId="77777777" w:rsidR="005D46C2" w:rsidRPr="00D057C4" w:rsidRDefault="005D46C2" w:rsidP="00D057C4">
      <w:pPr>
        <w:pStyle w:val="BodyText"/>
        <w:numPr>
          <w:ilvl w:val="0"/>
          <w:numId w:val="28"/>
        </w:numPr>
        <w:tabs>
          <w:tab w:val="clear" w:pos="851"/>
        </w:tabs>
        <w:rPr>
          <w:bCs/>
        </w:rPr>
      </w:pPr>
      <w:r w:rsidRPr="00D057C4">
        <w:rPr>
          <w:bCs/>
        </w:rPr>
        <w:t xml:space="preserve">A </w:t>
      </w:r>
      <w:r w:rsidR="00D057C4" w:rsidRPr="00D057C4">
        <w:rPr>
          <w:bCs/>
        </w:rPr>
        <w:t>key consideration</w:t>
      </w:r>
      <w:r w:rsidR="00D67BC7" w:rsidRPr="00D057C4">
        <w:rPr>
          <w:bCs/>
        </w:rPr>
        <w:t xml:space="preserve"> identified by the </w:t>
      </w:r>
      <w:r w:rsidRPr="00D057C4">
        <w:rPr>
          <w:bCs/>
        </w:rPr>
        <w:t>VTS Committee</w:t>
      </w:r>
      <w:r w:rsidR="00D67BC7" w:rsidRPr="00D057C4">
        <w:rPr>
          <w:bCs/>
        </w:rPr>
        <w:t xml:space="preserve"> </w:t>
      </w:r>
      <w:r w:rsidRPr="00D057C4">
        <w:rPr>
          <w:bCs/>
        </w:rPr>
        <w:t xml:space="preserve">with regards to G1185 </w:t>
      </w:r>
      <w:r w:rsidR="00D057C4" w:rsidRPr="00D057C4">
        <w:rPr>
          <w:bCs/>
        </w:rPr>
        <w:t xml:space="preserve">is that </w:t>
      </w:r>
      <w:r w:rsidR="00D057C4">
        <w:rPr>
          <w:bCs/>
        </w:rPr>
        <w:t>t</w:t>
      </w:r>
      <w:r w:rsidRPr="00D057C4">
        <w:rPr>
          <w:bCs/>
        </w:rPr>
        <w:t>he purpose of the guideline is not very clear.  For example:</w:t>
      </w:r>
    </w:p>
    <w:p w14:paraId="52B5315E" w14:textId="77777777" w:rsidR="005D46C2" w:rsidRDefault="005D46C2" w:rsidP="005D46C2">
      <w:pPr>
        <w:pStyle w:val="BodyText"/>
        <w:numPr>
          <w:ilvl w:val="1"/>
          <w:numId w:val="27"/>
        </w:numPr>
        <w:tabs>
          <w:tab w:val="clear" w:pos="851"/>
        </w:tabs>
        <w:rPr>
          <w:bCs/>
        </w:rPr>
      </w:pPr>
      <w:r w:rsidRPr="005D46C2">
        <w:rPr>
          <w:bCs/>
        </w:rPr>
        <w:t xml:space="preserve">Paragraph 1 is simply a statement and doesn’t identify who </w:t>
      </w:r>
      <w:r w:rsidRPr="005D46C2">
        <w:rPr>
          <w:bCs/>
          <w:u w:val="single"/>
        </w:rPr>
        <w:t>should take account</w:t>
      </w:r>
      <w:r w:rsidRPr="005D46C2">
        <w:rPr>
          <w:bCs/>
        </w:rPr>
        <w:t xml:space="preserve"> of the guidance being offered ‘when considering navigational safety issues in and around OREI.’</w:t>
      </w:r>
    </w:p>
    <w:p w14:paraId="0C33C981" w14:textId="77777777" w:rsidR="005D46C2" w:rsidRDefault="005D46C2" w:rsidP="005D46C2">
      <w:pPr>
        <w:pStyle w:val="BodyText"/>
        <w:numPr>
          <w:ilvl w:val="1"/>
          <w:numId w:val="27"/>
        </w:numPr>
        <w:tabs>
          <w:tab w:val="clear" w:pos="851"/>
        </w:tabs>
        <w:rPr>
          <w:bCs/>
        </w:rPr>
      </w:pPr>
      <w:r w:rsidRPr="005D46C2">
        <w:rPr>
          <w:bCs/>
        </w:rPr>
        <w:t xml:space="preserve">Paragraph 2 refers to ‘maritime authorities, OREI developers and other stakeholders when planning the establishment of OREI.’  </w:t>
      </w:r>
    </w:p>
    <w:p w14:paraId="39C611FC" w14:textId="77777777" w:rsidR="005D46C2" w:rsidRPr="005D46C2" w:rsidRDefault="005D46C2" w:rsidP="005D46C2">
      <w:pPr>
        <w:pStyle w:val="BodyText"/>
        <w:numPr>
          <w:ilvl w:val="1"/>
          <w:numId w:val="27"/>
        </w:numPr>
        <w:tabs>
          <w:tab w:val="clear" w:pos="851"/>
        </w:tabs>
        <w:rPr>
          <w:bCs/>
        </w:rPr>
      </w:pPr>
      <w:r w:rsidRPr="005D46C2">
        <w:rPr>
          <w:bCs/>
        </w:rPr>
        <w:t xml:space="preserve">However, Section 2 Risk Management states that ‘Risk management in the context of OREI should be a joint responsibility between </w:t>
      </w:r>
      <w:r w:rsidRPr="005D46C2">
        <w:rPr>
          <w:bCs/>
          <w:u w:val="single"/>
        </w:rPr>
        <w:t>National Competent Authorities</w:t>
      </w:r>
      <w:r w:rsidRPr="005D46C2">
        <w:rPr>
          <w:bCs/>
        </w:rPr>
        <w:t xml:space="preserve"> and the </w:t>
      </w:r>
      <w:r w:rsidRPr="005D46C2">
        <w:rPr>
          <w:bCs/>
          <w:u w:val="single"/>
        </w:rPr>
        <w:t>Developers</w:t>
      </w:r>
      <w:r w:rsidRPr="005D46C2">
        <w:rPr>
          <w:bCs/>
        </w:rPr>
        <w:t xml:space="preserve"> and </w:t>
      </w:r>
      <w:r w:rsidRPr="005D46C2">
        <w:rPr>
          <w:bCs/>
          <w:u w:val="single"/>
        </w:rPr>
        <w:t>Operators’</w:t>
      </w:r>
      <w:r w:rsidRPr="005D46C2">
        <w:rPr>
          <w:bCs/>
        </w:rPr>
        <w:t>.</w:t>
      </w:r>
    </w:p>
    <w:p w14:paraId="7EACCC41" w14:textId="77777777" w:rsidR="0076651E" w:rsidRDefault="0076651E" w:rsidP="0076651E">
      <w:pPr>
        <w:pStyle w:val="BodyText"/>
        <w:numPr>
          <w:ilvl w:val="0"/>
          <w:numId w:val="28"/>
        </w:numPr>
        <w:tabs>
          <w:tab w:val="clear" w:pos="851"/>
        </w:tabs>
        <w:rPr>
          <w:bCs/>
          <w:lang w:val="en-US"/>
        </w:rPr>
      </w:pPr>
      <w:r>
        <w:rPr>
          <w:bCs/>
          <w:lang w:val="en-US"/>
        </w:rPr>
        <w:t>The VTS Committee considers that noting the above</w:t>
      </w:r>
      <w:r w:rsidR="0081360F">
        <w:rPr>
          <w:bCs/>
          <w:lang w:val="en-US"/>
        </w:rPr>
        <w:t>,</w:t>
      </w:r>
      <w:r>
        <w:rPr>
          <w:bCs/>
          <w:lang w:val="en-US"/>
        </w:rPr>
        <w:t xml:space="preserve"> it may be opportune</w:t>
      </w:r>
      <w:r w:rsidR="0081360F">
        <w:rPr>
          <w:bCs/>
          <w:lang w:val="en-US"/>
        </w:rPr>
        <w:t xml:space="preserve"> for ARM and VTS to explore this important issue further </w:t>
      </w:r>
      <w:proofErr w:type="spellStart"/>
      <w:r w:rsidR="0081360F">
        <w:rPr>
          <w:bCs/>
          <w:lang w:val="en-US"/>
        </w:rPr>
        <w:t>intersessionally</w:t>
      </w:r>
      <w:proofErr w:type="spellEnd"/>
      <w:r w:rsidR="0081360F">
        <w:rPr>
          <w:bCs/>
          <w:lang w:val="en-US"/>
        </w:rPr>
        <w:t xml:space="preserve">, with a view to progressing things during the </w:t>
      </w:r>
      <w:r w:rsidR="0086047E">
        <w:rPr>
          <w:bCs/>
          <w:lang w:val="en-US"/>
        </w:rPr>
        <w:t xml:space="preserve">second half </w:t>
      </w:r>
      <w:r w:rsidR="0081360F">
        <w:rPr>
          <w:bCs/>
          <w:lang w:val="en-US"/>
        </w:rPr>
        <w:t xml:space="preserve">of Committee meetings </w:t>
      </w:r>
      <w:r w:rsidR="0086047E">
        <w:rPr>
          <w:bCs/>
          <w:lang w:val="en-US"/>
        </w:rPr>
        <w:t>in 2025.</w:t>
      </w:r>
    </w:p>
    <w:p w14:paraId="4624E667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10A7E2F3" w14:textId="6A855B91" w:rsidR="00D057C4" w:rsidRDefault="00DD7E27" w:rsidP="00DD7E27">
      <w:pPr>
        <w:pStyle w:val="BodyText"/>
        <w:tabs>
          <w:tab w:val="clear" w:pos="851"/>
        </w:tabs>
        <w:rPr>
          <w:bCs/>
          <w:lang w:val="en-US"/>
        </w:rPr>
      </w:pPr>
      <w:r>
        <w:t xml:space="preserve">The </w:t>
      </w:r>
      <w:r w:rsidR="00A95310">
        <w:t>ARM</w:t>
      </w:r>
      <w:r w:rsidR="00F5488F" w:rsidRPr="00120C68">
        <w:t xml:space="preserve"> </w:t>
      </w:r>
      <w:r w:rsidR="00120C68" w:rsidRPr="00120C68">
        <w:t>C</w:t>
      </w:r>
      <w:r w:rsidR="00F5488F" w:rsidRPr="00120C68">
        <w:t xml:space="preserve">ommittee is </w:t>
      </w:r>
      <w:r w:rsidR="00120C68" w:rsidRPr="00120C68">
        <w:t xml:space="preserve">invited </w:t>
      </w:r>
      <w:r w:rsidR="00F5488F" w:rsidRPr="00120C68">
        <w:t>to</w:t>
      </w:r>
      <w:r w:rsidR="00120C68" w:rsidRPr="00120C68">
        <w:t xml:space="preserve"> </w:t>
      </w:r>
      <w:r w:rsidR="00120C68" w:rsidRPr="00120C68">
        <w:rPr>
          <w:lang w:val="en-US"/>
        </w:rPr>
        <w:t>c</w:t>
      </w:r>
      <w:r w:rsidR="00F5488F" w:rsidRPr="00120C68">
        <w:rPr>
          <w:lang w:val="en-US"/>
        </w:rPr>
        <w:t>onsider</w:t>
      </w:r>
      <w:r w:rsidR="00120C68" w:rsidRPr="00120C68">
        <w:rPr>
          <w:lang w:val="en-US"/>
        </w:rPr>
        <w:t xml:space="preserve"> </w:t>
      </w:r>
      <w:r w:rsidR="00F5488F" w:rsidRPr="00120C68">
        <w:rPr>
          <w:lang w:val="en-US"/>
        </w:rPr>
        <w:t xml:space="preserve">the </w:t>
      </w:r>
      <w:r w:rsidR="007F4C2C">
        <w:rPr>
          <w:lang w:val="en-US"/>
        </w:rPr>
        <w:t>proposal</w:t>
      </w:r>
      <w:r w:rsidR="00120C68" w:rsidRPr="00120C68">
        <w:rPr>
          <w:lang w:val="en-US"/>
        </w:rPr>
        <w:t xml:space="preserve"> from</w:t>
      </w:r>
      <w:r w:rsidR="00F5488F" w:rsidRPr="00120C68">
        <w:rPr>
          <w:lang w:val="en-US"/>
        </w:rPr>
        <w:t xml:space="preserve"> the VTS Committee</w:t>
      </w:r>
      <w:r w:rsidR="00D057C4">
        <w:rPr>
          <w:lang w:val="en-US"/>
        </w:rPr>
        <w:t xml:space="preserve"> </w:t>
      </w:r>
      <w:r w:rsidR="00F60028">
        <w:rPr>
          <w:lang w:val="en-US"/>
        </w:rPr>
        <w:t>of</w:t>
      </w:r>
      <w:r w:rsidR="00D057C4">
        <w:rPr>
          <w:lang w:val="en-US"/>
        </w:rPr>
        <w:t xml:space="preserve"> whether </w:t>
      </w:r>
      <w:r w:rsidR="00D057C4">
        <w:rPr>
          <w:bCs/>
          <w:lang w:val="en-US"/>
        </w:rPr>
        <w:t xml:space="preserve">it may be opportune for ARM and VTS to explore this important issue further </w:t>
      </w:r>
      <w:proofErr w:type="spellStart"/>
      <w:r w:rsidR="00D057C4">
        <w:rPr>
          <w:bCs/>
          <w:lang w:val="en-US"/>
        </w:rPr>
        <w:t>intersessionally</w:t>
      </w:r>
      <w:proofErr w:type="spellEnd"/>
      <w:r w:rsidR="00D057C4">
        <w:rPr>
          <w:bCs/>
          <w:lang w:val="en-US"/>
        </w:rPr>
        <w:t xml:space="preserve">, with a view to progressing things during the </w:t>
      </w:r>
      <w:r w:rsidR="0086047E">
        <w:rPr>
          <w:bCs/>
          <w:lang w:val="en-US"/>
        </w:rPr>
        <w:t>second</w:t>
      </w:r>
      <w:r w:rsidR="00D057C4">
        <w:rPr>
          <w:bCs/>
          <w:lang w:val="en-US"/>
        </w:rPr>
        <w:t xml:space="preserve"> round of Committee meetings</w:t>
      </w:r>
      <w:r w:rsidR="0086047E">
        <w:rPr>
          <w:bCs/>
          <w:lang w:val="en-US"/>
        </w:rPr>
        <w:t xml:space="preserve"> in 2025</w:t>
      </w:r>
      <w:r w:rsidR="00D057C4">
        <w:rPr>
          <w:bCs/>
          <w:lang w:val="en-US"/>
        </w:rPr>
        <w:t xml:space="preserve">. </w:t>
      </w:r>
    </w:p>
    <w:p w14:paraId="13BA3C7A" w14:textId="77777777" w:rsidR="00F5488F" w:rsidRPr="00120C68" w:rsidRDefault="00F5488F" w:rsidP="00120C68">
      <w:pPr>
        <w:pStyle w:val="List1"/>
        <w:numPr>
          <w:ilvl w:val="0"/>
          <w:numId w:val="0"/>
        </w:numPr>
        <w:rPr>
          <w:lang w:val="en-GB"/>
        </w:rPr>
      </w:pPr>
    </w:p>
    <w:sectPr w:rsidR="00F5488F" w:rsidRPr="00120C68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340FF" w14:textId="77777777" w:rsidR="00194399" w:rsidRDefault="00194399" w:rsidP="002B0236">
      <w:r>
        <w:separator/>
      </w:r>
    </w:p>
  </w:endnote>
  <w:endnote w:type="continuationSeparator" w:id="0">
    <w:p w14:paraId="7654E589" w14:textId="77777777" w:rsidR="00194399" w:rsidRDefault="00194399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83A24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1AD46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349E8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3B34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FFC57" w14:textId="77777777" w:rsidR="00194399" w:rsidRDefault="00194399" w:rsidP="002B0236">
      <w:r>
        <w:separator/>
      </w:r>
    </w:p>
  </w:footnote>
  <w:footnote w:type="continuationSeparator" w:id="0">
    <w:p w14:paraId="7E43C7FE" w14:textId="77777777" w:rsidR="00194399" w:rsidRDefault="00194399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6DF85" w14:textId="77777777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7A83" w14:textId="77777777" w:rsidR="008E7A45" w:rsidRDefault="00E52A00" w:rsidP="002B0236">
    <w:pPr>
      <w:pStyle w:val="Header"/>
    </w:pPr>
    <w:r>
      <w:pict w14:anchorId="38476A1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.5pt;height:64.25pt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EEAA3" w14:textId="77777777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5D47557"/>
    <w:multiLevelType w:val="hybridMultilevel"/>
    <w:tmpl w:val="C982365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181711"/>
    <w:multiLevelType w:val="hybridMultilevel"/>
    <w:tmpl w:val="5BC622A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43073"/>
    <w:multiLevelType w:val="hybridMultilevel"/>
    <w:tmpl w:val="D938CA1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B7E32C5"/>
    <w:multiLevelType w:val="hybridMultilevel"/>
    <w:tmpl w:val="E8C4629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5" w15:restartNumberingAfterBreak="0">
    <w:nsid w:val="63741376"/>
    <w:multiLevelType w:val="hybridMultilevel"/>
    <w:tmpl w:val="169EFA8A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6879591">
    <w:abstractNumId w:val="12"/>
  </w:num>
  <w:num w:numId="2" w16cid:durableId="925072657">
    <w:abstractNumId w:val="18"/>
  </w:num>
  <w:num w:numId="3" w16cid:durableId="2136175268">
    <w:abstractNumId w:val="12"/>
  </w:num>
  <w:num w:numId="4" w16cid:durableId="547112736">
    <w:abstractNumId w:val="12"/>
  </w:num>
  <w:num w:numId="5" w16cid:durableId="518197118">
    <w:abstractNumId w:val="7"/>
  </w:num>
  <w:num w:numId="6" w16cid:durableId="196553896">
    <w:abstractNumId w:val="13"/>
  </w:num>
  <w:num w:numId="7" w16cid:durableId="1846282546">
    <w:abstractNumId w:val="10"/>
  </w:num>
  <w:num w:numId="8" w16cid:durableId="1159887506">
    <w:abstractNumId w:val="0"/>
  </w:num>
  <w:num w:numId="9" w16cid:durableId="1171406255">
    <w:abstractNumId w:val="6"/>
  </w:num>
  <w:num w:numId="10" w16cid:durableId="1678190252">
    <w:abstractNumId w:val="14"/>
  </w:num>
  <w:num w:numId="11" w16cid:durableId="397561081">
    <w:abstractNumId w:val="1"/>
  </w:num>
  <w:num w:numId="12" w16cid:durableId="1634362081">
    <w:abstractNumId w:val="1"/>
  </w:num>
  <w:num w:numId="13" w16cid:durableId="1975481842">
    <w:abstractNumId w:val="1"/>
  </w:num>
  <w:num w:numId="14" w16cid:durableId="356666011">
    <w:abstractNumId w:val="1"/>
  </w:num>
  <w:num w:numId="15" w16cid:durableId="1314603952">
    <w:abstractNumId w:val="1"/>
  </w:num>
  <w:num w:numId="16" w16cid:durableId="1623152085">
    <w:abstractNumId w:val="8"/>
  </w:num>
  <w:num w:numId="17" w16cid:durableId="177503992">
    <w:abstractNumId w:val="17"/>
  </w:num>
  <w:num w:numId="18" w16cid:durableId="133764195">
    <w:abstractNumId w:val="5"/>
  </w:num>
  <w:num w:numId="19" w16cid:durableId="824198377">
    <w:abstractNumId w:val="16"/>
  </w:num>
  <w:num w:numId="20" w16cid:durableId="1529948256">
    <w:abstractNumId w:val="11"/>
  </w:num>
  <w:num w:numId="21" w16cid:durableId="1390691091">
    <w:abstractNumId w:val="8"/>
  </w:num>
  <w:num w:numId="22" w16cid:durableId="177012750">
    <w:abstractNumId w:val="8"/>
  </w:num>
  <w:num w:numId="23" w16cid:durableId="11431618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0952636">
    <w:abstractNumId w:val="3"/>
  </w:num>
  <w:num w:numId="25" w16cid:durableId="347026566">
    <w:abstractNumId w:val="4"/>
  </w:num>
  <w:num w:numId="26" w16cid:durableId="302735250">
    <w:abstractNumId w:val="9"/>
  </w:num>
  <w:num w:numId="27" w16cid:durableId="908268072">
    <w:abstractNumId w:val="15"/>
  </w:num>
  <w:num w:numId="28" w16cid:durableId="553200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86CC7"/>
    <w:rsid w:val="000A1027"/>
    <w:rsid w:val="000A5A01"/>
    <w:rsid w:val="00120C68"/>
    <w:rsid w:val="00135447"/>
    <w:rsid w:val="001377C6"/>
    <w:rsid w:val="00152273"/>
    <w:rsid w:val="00194399"/>
    <w:rsid w:val="00194CC8"/>
    <w:rsid w:val="00194EF1"/>
    <w:rsid w:val="001972EC"/>
    <w:rsid w:val="001A654A"/>
    <w:rsid w:val="001C74CF"/>
    <w:rsid w:val="001E7B14"/>
    <w:rsid w:val="002A4E1E"/>
    <w:rsid w:val="002B0236"/>
    <w:rsid w:val="002F106E"/>
    <w:rsid w:val="00376738"/>
    <w:rsid w:val="003960EF"/>
    <w:rsid w:val="003B009E"/>
    <w:rsid w:val="003C7A74"/>
    <w:rsid w:val="003D55DD"/>
    <w:rsid w:val="003E1831"/>
    <w:rsid w:val="00424954"/>
    <w:rsid w:val="0045640F"/>
    <w:rsid w:val="004C1386"/>
    <w:rsid w:val="004C220D"/>
    <w:rsid w:val="00500996"/>
    <w:rsid w:val="005D05AC"/>
    <w:rsid w:val="005D46C2"/>
    <w:rsid w:val="005D4953"/>
    <w:rsid w:val="005E677E"/>
    <w:rsid w:val="0060316D"/>
    <w:rsid w:val="0062580B"/>
    <w:rsid w:val="00630F7F"/>
    <w:rsid w:val="0064435F"/>
    <w:rsid w:val="006D470F"/>
    <w:rsid w:val="00727E88"/>
    <w:rsid w:val="007311C4"/>
    <w:rsid w:val="007349E8"/>
    <w:rsid w:val="00747377"/>
    <w:rsid w:val="0076651E"/>
    <w:rsid w:val="00775878"/>
    <w:rsid w:val="007D5B23"/>
    <w:rsid w:val="007F4C2C"/>
    <w:rsid w:val="0080092C"/>
    <w:rsid w:val="0081360F"/>
    <w:rsid w:val="0086047E"/>
    <w:rsid w:val="00872453"/>
    <w:rsid w:val="008D5628"/>
    <w:rsid w:val="008E7A45"/>
    <w:rsid w:val="008F13DD"/>
    <w:rsid w:val="008F4DC3"/>
    <w:rsid w:val="00902AA4"/>
    <w:rsid w:val="00906239"/>
    <w:rsid w:val="00954F25"/>
    <w:rsid w:val="009F3B6C"/>
    <w:rsid w:val="009F5C36"/>
    <w:rsid w:val="00A27F12"/>
    <w:rsid w:val="00A30579"/>
    <w:rsid w:val="00A41599"/>
    <w:rsid w:val="00A62A38"/>
    <w:rsid w:val="00A95310"/>
    <w:rsid w:val="00AA2626"/>
    <w:rsid w:val="00AA76C0"/>
    <w:rsid w:val="00B077EC"/>
    <w:rsid w:val="00B15B24"/>
    <w:rsid w:val="00B428DA"/>
    <w:rsid w:val="00B43627"/>
    <w:rsid w:val="00B67C48"/>
    <w:rsid w:val="00B8247E"/>
    <w:rsid w:val="00BE56DF"/>
    <w:rsid w:val="00BF5ABF"/>
    <w:rsid w:val="00C265EE"/>
    <w:rsid w:val="00C47180"/>
    <w:rsid w:val="00CA04AF"/>
    <w:rsid w:val="00D02BF4"/>
    <w:rsid w:val="00D057C4"/>
    <w:rsid w:val="00D06D34"/>
    <w:rsid w:val="00D67AF2"/>
    <w:rsid w:val="00D67BC7"/>
    <w:rsid w:val="00DD7E27"/>
    <w:rsid w:val="00E52A00"/>
    <w:rsid w:val="00E729A7"/>
    <w:rsid w:val="00E93C9B"/>
    <w:rsid w:val="00EE3F2F"/>
    <w:rsid w:val="00F5488F"/>
    <w:rsid w:val="00F60028"/>
    <w:rsid w:val="00F73F78"/>
    <w:rsid w:val="00F950CB"/>
    <w:rsid w:val="00FA5842"/>
    <w:rsid w:val="00FA6769"/>
    <w:rsid w:val="00FD03CA"/>
    <w:rsid w:val="00FD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F57123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92F0ED-4648-4AE7-8D87-9709B1B3DD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2C1A8E-2ACD-4C98-B1F6-2AD5883AA2D7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93DDE742-A0DB-4E91-9BF9-00706DBFCB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6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8</cp:revision>
  <cp:lastPrinted>2006-10-19T11:49:00Z</cp:lastPrinted>
  <dcterms:created xsi:type="dcterms:W3CDTF">2025-03-20T13:39:00Z</dcterms:created>
  <dcterms:modified xsi:type="dcterms:W3CDTF">2025-03-29T17:45:00Z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